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230"/>
        <w:gridCol w:w="2917"/>
      </w:tblGrid>
      <w:tr w:rsidR="0065359B" w:rsidTr="00727274">
        <w:trPr>
          <w:tblCellSpacing w:w="15" w:type="dxa"/>
        </w:trPr>
        <w:tc>
          <w:tcPr>
            <w:tcW w:w="0" w:type="auto"/>
            <w:shd w:val="clear" w:color="auto" w:fill="990000"/>
            <w:vAlign w:val="center"/>
            <w:hideMark/>
          </w:tcPr>
          <w:p w:rsidR="0065359B" w:rsidRDefault="0065359B" w:rsidP="0065359B">
            <w:pPr>
              <w:rPr>
                <w:color w:val="000000"/>
                <w:sz w:val="24"/>
                <w:szCs w:val="24"/>
              </w:rPr>
            </w:pPr>
            <w:proofErr w:type="spellStart"/>
            <w:r>
              <w:t>Sitagliptine</w:t>
            </w:r>
            <w:proofErr w:type="spellEnd"/>
            <w:r>
              <w:t>/</w:t>
            </w:r>
            <w:proofErr w:type="spellStart"/>
            <w:r>
              <w:t>metformine</w:t>
            </w:r>
            <w:proofErr w:type="spellEnd"/>
            <w:r>
              <w:t xml:space="preserve">  </w:t>
            </w:r>
          </w:p>
        </w:tc>
        <w:tc>
          <w:tcPr>
            <w:tcW w:w="0" w:type="auto"/>
            <w:vAlign w:val="center"/>
            <w:hideMark/>
          </w:tcPr>
          <w:p w:rsidR="0065359B" w:rsidRDefault="0065359B" w:rsidP="00727274">
            <w:pPr>
              <w:rPr>
                <w:color w:val="000000"/>
                <w:sz w:val="24"/>
                <w:szCs w:val="24"/>
              </w:rPr>
            </w:pPr>
            <w:r>
              <w:rPr>
                <w:rFonts w:ascii="Verdana" w:hAnsi="Verdana"/>
                <w:b/>
                <w:bCs/>
                <w:color w:val="990000"/>
              </w:rPr>
              <w:t>EFFETS INDÉSIRABLES</w:t>
            </w:r>
            <w:r>
              <w:t xml:space="preserve"> </w:t>
            </w:r>
          </w:p>
        </w:tc>
      </w:tr>
    </w:tbl>
    <w:p w:rsidR="0065359B" w:rsidRDefault="0065359B" w:rsidP="0065359B">
      <w:r>
        <w:t xml:space="preserve">Aucun essai thérapeutique n'a été mené avec </w:t>
      </w:r>
      <w:proofErr w:type="spellStart"/>
      <w:r>
        <w:t>Sitagliptine</w:t>
      </w:r>
      <w:proofErr w:type="spellEnd"/>
      <w:r>
        <w:t>/</w:t>
      </w:r>
      <w:proofErr w:type="spellStart"/>
      <w:r>
        <w:t>metformine</w:t>
      </w:r>
      <w:proofErr w:type="spellEnd"/>
      <w:r>
        <w:t xml:space="preserve">  comprimés, mais la bioéquivalence de </w:t>
      </w:r>
      <w:proofErr w:type="spellStart"/>
      <w:r>
        <w:t>Sitagliptine</w:t>
      </w:r>
      <w:proofErr w:type="spellEnd"/>
      <w:r>
        <w:t>/</w:t>
      </w:r>
      <w:proofErr w:type="spellStart"/>
      <w:r>
        <w:t>metformine</w:t>
      </w:r>
      <w:proofErr w:type="spellEnd"/>
      <w:r>
        <w:t xml:space="preserve">  avec la </w:t>
      </w:r>
      <w:proofErr w:type="spellStart"/>
      <w:r>
        <w:t>sitagliptine</w:t>
      </w:r>
      <w:proofErr w:type="spellEnd"/>
      <w:r>
        <w:t xml:space="preserve"> et la </w:t>
      </w:r>
      <w:proofErr w:type="spellStart"/>
      <w:r>
        <w:t>metformine</w:t>
      </w:r>
      <w:proofErr w:type="spellEnd"/>
      <w:r>
        <w:t xml:space="preserve"> </w:t>
      </w:r>
      <w:proofErr w:type="spellStart"/>
      <w:r>
        <w:t>coadministrées</w:t>
      </w:r>
      <w:proofErr w:type="spellEnd"/>
      <w:r>
        <w:t xml:space="preserve"> a été démontrée (</w:t>
      </w:r>
      <w:proofErr w:type="spellStart"/>
      <w:r>
        <w:t>cf</w:t>
      </w:r>
      <w:proofErr w:type="spellEnd"/>
      <w:r>
        <w:t> Pharmacocinétique).</w:t>
      </w:r>
      <w:r>
        <w:br/>
        <w:t>Des effets indésirables graves incluant pancréatite et réactions d'hypersensibilité ont été rapportés. Des hypoglycémies ont été rapportées en cas d'association à un sulfamide hypoglycémiant (13,8 %) et à l'insuline (10,9 %).</w:t>
      </w:r>
    </w:p>
    <w:p w:rsidR="0065359B" w:rsidRDefault="0065359B" w:rsidP="0065359B">
      <w:proofErr w:type="spellStart"/>
      <w:r>
        <w:rPr>
          <w:b/>
          <w:bCs/>
          <w:i/>
          <w:iCs/>
        </w:rPr>
        <w:t>Sitagliptine</w:t>
      </w:r>
      <w:proofErr w:type="spellEnd"/>
      <w:r>
        <w:rPr>
          <w:b/>
          <w:bCs/>
          <w:i/>
          <w:iCs/>
        </w:rPr>
        <w:t xml:space="preserve"> et </w:t>
      </w:r>
      <w:proofErr w:type="spellStart"/>
      <w:r>
        <w:rPr>
          <w:b/>
          <w:bCs/>
          <w:i/>
          <w:iCs/>
        </w:rPr>
        <w:t>metformine</w:t>
      </w:r>
      <w:proofErr w:type="spellEnd"/>
      <w:r>
        <w:rPr>
          <w:b/>
          <w:bCs/>
          <w:i/>
          <w:iCs/>
        </w:rPr>
        <w:t xml:space="preserve"> : </w:t>
      </w:r>
    </w:p>
    <w:p w:rsidR="0065359B" w:rsidRDefault="0065359B" w:rsidP="0065359B">
      <w:pPr>
        <w:ind w:left="720"/>
      </w:pPr>
      <w:r>
        <w:rPr>
          <w:i/>
          <w:iCs/>
        </w:rPr>
        <w:t>Liste des effets indésirables présentée sous forme de tableau :</w:t>
      </w:r>
      <w:r>
        <w:t xml:space="preserve"> </w:t>
      </w:r>
    </w:p>
    <w:p w:rsidR="0065359B" w:rsidRDefault="0065359B" w:rsidP="0065359B">
      <w:pPr>
        <w:ind w:left="720"/>
      </w:pPr>
      <w:r>
        <w:t xml:space="preserve">Les effets indésirables sont répertoriés ci-après selon les termes </w:t>
      </w:r>
      <w:proofErr w:type="spellStart"/>
      <w:r>
        <w:t>MedDRA</w:t>
      </w:r>
      <w:proofErr w:type="spellEnd"/>
      <w:r>
        <w:t xml:space="preserve">, par classe de systèmes d'organes et par fréquence absolue (tableau 1). Les fréquences sont définies comme suit : très fréquent (&gt;= 1/10) ; fréquent (&gt;= 1/100, &lt; 1/10) ; peu fréquent (&gt;= 1/1000, &lt; 1/100) ; rare (&gt;= 1/10 000, &lt; 1/1000) ; très rare (&lt; 1/10 000) et fréquence indéterminée (ne peut être estimée sur la base des données disponibles).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46"/>
        <w:gridCol w:w="1253"/>
        <w:gridCol w:w="1754"/>
        <w:gridCol w:w="1848"/>
        <w:gridCol w:w="1601"/>
      </w:tblGrid>
      <w:tr w:rsidR="0065359B" w:rsidTr="00727274">
        <w:trPr>
          <w:trHeight w:val="537"/>
          <w:tblCellSpacing w:w="7" w:type="dxa"/>
        </w:trPr>
        <w:tc>
          <w:tcPr>
            <w:tcW w:w="0" w:type="auto"/>
            <w:gridSpan w:val="5"/>
            <w:vMerge w:val="restart"/>
            <w:tcBorders>
              <w:top w:val="nil"/>
              <w:left w:val="nil"/>
              <w:bottom w:val="nil"/>
              <w:right w:val="nil"/>
            </w:tcBorders>
            <w:vAlign w:val="center"/>
            <w:hideMark/>
          </w:tcPr>
          <w:p w:rsidR="0065359B" w:rsidRDefault="0065359B" w:rsidP="00727274">
            <w:pPr>
              <w:jc w:val="center"/>
              <w:rPr>
                <w:color w:val="000000"/>
                <w:sz w:val="24"/>
                <w:szCs w:val="24"/>
              </w:rPr>
            </w:pPr>
            <w:r>
              <w:t xml:space="preserve">Tableau 1 : Fréquence des effets indésirables dans les études cliniques versus placebo et depuis la commercialisation </w:t>
            </w:r>
          </w:p>
        </w:tc>
      </w:tr>
      <w:tr w:rsidR="0065359B" w:rsidTr="00727274">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Effets indésirables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des effets indésirables par traitement </w:t>
            </w:r>
          </w:p>
        </w:tc>
      </w:tr>
      <w:tr w:rsidR="0065359B" w:rsidTr="00727274">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65359B" w:rsidRDefault="0065359B" w:rsidP="00727274">
            <w:pPr>
              <w:jc w:val="center"/>
              <w:rPr>
                <w:color w:val="000000"/>
                <w:sz w:val="24"/>
                <w:szCs w:val="24"/>
              </w:rPr>
            </w:pPr>
            <w:proofErr w:type="spellStart"/>
            <w:r>
              <w:t>sitagliptine</w:t>
            </w:r>
            <w:proofErr w:type="spellEnd"/>
            <w:r>
              <w:t xml:space="preserve"> + </w:t>
            </w:r>
            <w:proofErr w:type="spellStart"/>
            <w:r>
              <w:t>metformine</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5359B" w:rsidRDefault="0065359B" w:rsidP="00727274">
            <w:pPr>
              <w:jc w:val="center"/>
              <w:rPr>
                <w:color w:val="000000"/>
                <w:sz w:val="24"/>
                <w:szCs w:val="24"/>
              </w:rPr>
            </w:pPr>
            <w:proofErr w:type="spellStart"/>
            <w:r>
              <w:t>sitagliptine</w:t>
            </w:r>
            <w:proofErr w:type="spellEnd"/>
            <w:r>
              <w:t xml:space="preserve"> + </w:t>
            </w:r>
            <w:proofErr w:type="spellStart"/>
            <w:r>
              <w:t>metformine</w:t>
            </w:r>
            <w:proofErr w:type="spellEnd"/>
            <w:r>
              <w:t xml:space="preserve"> et sulfamide hypoglycémiant </w:t>
            </w:r>
          </w:p>
        </w:tc>
        <w:tc>
          <w:tcPr>
            <w:tcW w:w="0" w:type="auto"/>
            <w:tcBorders>
              <w:top w:val="outset" w:sz="6" w:space="0" w:color="auto"/>
              <w:left w:val="outset" w:sz="6" w:space="0" w:color="auto"/>
              <w:bottom w:val="outset" w:sz="6" w:space="0" w:color="auto"/>
              <w:right w:val="outset" w:sz="6" w:space="0" w:color="auto"/>
            </w:tcBorders>
            <w:hideMark/>
          </w:tcPr>
          <w:p w:rsidR="0065359B" w:rsidRDefault="0065359B" w:rsidP="00727274">
            <w:pPr>
              <w:jc w:val="center"/>
              <w:rPr>
                <w:color w:val="000000"/>
                <w:sz w:val="24"/>
                <w:szCs w:val="24"/>
              </w:rPr>
            </w:pPr>
            <w:proofErr w:type="spellStart"/>
            <w:r>
              <w:t>sitagliptine</w:t>
            </w:r>
            <w:proofErr w:type="spellEnd"/>
            <w:r>
              <w:t xml:space="preserve"> + </w:t>
            </w:r>
            <w:proofErr w:type="spellStart"/>
            <w:r>
              <w:t>metformine</w:t>
            </w:r>
            <w:proofErr w:type="spellEnd"/>
            <w:r>
              <w:t xml:space="preserve"> et agoniste des récepteurs </w:t>
            </w:r>
            <w:proofErr w:type="spellStart"/>
            <w:r>
              <w:t>PPARgamma</w:t>
            </w:r>
            <w:proofErr w:type="spellEnd"/>
            <w:r>
              <w:t xml:space="preserve"> (</w:t>
            </w:r>
            <w:proofErr w:type="spellStart"/>
            <w:r>
              <w:t>pioglitazone</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5359B" w:rsidRDefault="0065359B" w:rsidP="00727274">
            <w:pPr>
              <w:jc w:val="center"/>
              <w:rPr>
                <w:color w:val="000000"/>
                <w:sz w:val="24"/>
                <w:szCs w:val="24"/>
              </w:rPr>
            </w:pPr>
            <w:proofErr w:type="spellStart"/>
            <w:r>
              <w:t>sitagliptine</w:t>
            </w:r>
            <w:proofErr w:type="spellEnd"/>
            <w:r>
              <w:t xml:space="preserve"> + </w:t>
            </w:r>
            <w:proofErr w:type="spellStart"/>
            <w:r>
              <w:t>metformine</w:t>
            </w:r>
            <w:proofErr w:type="spellEnd"/>
            <w:r>
              <w:t xml:space="preserve"> et insuline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Moment de l'analyse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Semaine 24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Semaine 24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Semaine 26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Semaine 24 </w:t>
            </w:r>
          </w:p>
        </w:tc>
      </w:tr>
      <w:tr w:rsidR="0065359B" w:rsidTr="0072727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 xml:space="preserve">Affections du système immunitaire :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Réactions d'hypersensibilité incluant des réponses anaphylactiques</w:t>
            </w:r>
            <w:r>
              <w:rPr>
                <w:vertAlign w:val="superscript"/>
              </w:rPr>
              <w:t>(1)</w:t>
            </w:r>
            <w:r>
              <w:t> </w:t>
            </w:r>
            <w:r>
              <w:rPr>
                <w:vertAlign w:val="superscript"/>
              </w:rPr>
              <w:t>(2)</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 xml:space="preserve">Troubles du métabolisme et de la nutrition :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Hypoglycémie</w:t>
            </w:r>
            <w:r>
              <w:rPr>
                <w:vertAlign w:val="superscript"/>
              </w:rPr>
              <w:t>(2)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Très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Très fréquent </w:t>
            </w:r>
          </w:p>
        </w:tc>
      </w:tr>
      <w:tr w:rsidR="0065359B" w:rsidTr="0072727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 xml:space="preserve">Affections du système nerveux :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lastRenderedPageBreak/>
              <w:t xml:space="preserve">Céphalées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Peu fréquent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xml:space="preserve">Somnolence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 xml:space="preserve">Affections respiratoires, thoraciques et </w:t>
            </w:r>
            <w:proofErr w:type="spellStart"/>
            <w:r>
              <w:rPr>
                <w:i/>
                <w:iCs/>
              </w:rPr>
              <w:t>médiastinales</w:t>
            </w:r>
            <w:proofErr w:type="spellEnd"/>
            <w:r>
              <w:rPr>
                <w:i/>
                <w:iCs/>
              </w:rPr>
              <w:t xml:space="preserve"> :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Maladie interstitielle pulmonaire</w:t>
            </w:r>
            <w:r>
              <w:rPr>
                <w:vertAlign w:val="superscript"/>
              </w:rPr>
              <w:t>(1)</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 xml:space="preserve">Affections gastro-intestinales :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xml:space="preserve">Diarrhée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xml:space="preserve">Nausées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xml:space="preserve">Flatulence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xml:space="preserve">Constipation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xml:space="preserve">Douleur abdominale haute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xml:space="preserve">Vomissements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Fréquence indéterminée</w:t>
            </w:r>
            <w:r>
              <w:rPr>
                <w:vertAlign w:val="superscript"/>
              </w:rPr>
              <w:t>(1)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Fréquence indéterminée</w:t>
            </w:r>
            <w:r>
              <w:rPr>
                <w:vertAlign w:val="superscript"/>
              </w:rPr>
              <w:t>(1)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Fréquence indéterminée</w:t>
            </w:r>
            <w:r>
              <w:rPr>
                <w:vertAlign w:val="superscript"/>
              </w:rPr>
              <w:t>(1)</w:t>
            </w:r>
            <w:r>
              <w:t xml:space="preserv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xml:space="preserve">Bouche sèche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Peu fréquent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Pancréatite aiguë</w:t>
            </w:r>
            <w:r>
              <w:rPr>
                <w:vertAlign w:val="superscript"/>
              </w:rPr>
              <w:t>(1)</w:t>
            </w:r>
            <w:r>
              <w:t> </w:t>
            </w:r>
            <w:r>
              <w:rPr>
                <w:vertAlign w:val="superscript"/>
              </w:rPr>
              <w:t>(2)</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Pancréatite hémorragique et nécrosante fatale et non fatale</w:t>
            </w:r>
            <w:r>
              <w:rPr>
                <w:vertAlign w:val="superscript"/>
              </w:rPr>
              <w:t>(1)</w:t>
            </w:r>
            <w:r>
              <w:t> </w:t>
            </w:r>
            <w:r>
              <w:rPr>
                <w:vertAlign w:val="superscript"/>
              </w:rPr>
              <w:t>(2)</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 xml:space="preserve">Affections de la peau et des tissus sous-cutanés :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proofErr w:type="spellStart"/>
            <w:r>
              <w:t>Angio</w:t>
            </w:r>
            <w:proofErr w:type="spellEnd"/>
            <w:r>
              <w:t>-</w:t>
            </w:r>
            <w:proofErr w:type="spellStart"/>
            <w:r>
              <w:t>oedème</w:t>
            </w:r>
            <w:proofErr w:type="spellEnd"/>
            <w:r>
              <w:rPr>
                <w:vertAlign w:val="superscript"/>
              </w:rPr>
              <w:t>(1)</w:t>
            </w:r>
            <w:r>
              <w:t> </w:t>
            </w:r>
            <w:r>
              <w:rPr>
                <w:vertAlign w:val="superscript"/>
              </w:rPr>
              <w:t>(2)</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Éruption cutanée</w:t>
            </w:r>
            <w:r>
              <w:rPr>
                <w:vertAlign w:val="superscript"/>
              </w:rPr>
              <w:t>(1)</w:t>
            </w:r>
            <w:r>
              <w:t> </w:t>
            </w:r>
            <w:r>
              <w:rPr>
                <w:vertAlign w:val="superscript"/>
              </w:rPr>
              <w:t>(2)</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Urticaire</w:t>
            </w:r>
            <w:r>
              <w:rPr>
                <w:vertAlign w:val="superscript"/>
              </w:rPr>
              <w:t>(1)</w:t>
            </w:r>
            <w:r>
              <w:t> </w:t>
            </w:r>
            <w:r>
              <w:rPr>
                <w:vertAlign w:val="superscript"/>
              </w:rPr>
              <w:t>(2)</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proofErr w:type="spellStart"/>
            <w:r>
              <w:lastRenderedPageBreak/>
              <w:t>Vascularite</w:t>
            </w:r>
            <w:proofErr w:type="spellEnd"/>
            <w:r>
              <w:t xml:space="preserve"> cutanée</w:t>
            </w:r>
            <w:r>
              <w:rPr>
                <w:vertAlign w:val="superscript"/>
              </w:rPr>
              <w:t>(1)</w:t>
            </w:r>
            <w:r>
              <w:t> </w:t>
            </w:r>
            <w:r>
              <w:rPr>
                <w:vertAlign w:val="superscript"/>
              </w:rPr>
              <w:t>(2)</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Lésions cutanées exfoliatives, y compris syndrome de Stevens-Johnson</w:t>
            </w:r>
            <w:r>
              <w:rPr>
                <w:vertAlign w:val="superscript"/>
              </w:rPr>
              <w:t>(1)</w:t>
            </w:r>
            <w:r>
              <w:t> </w:t>
            </w:r>
            <w:r>
              <w:rPr>
                <w:vertAlign w:val="superscript"/>
              </w:rPr>
              <w:t>(2)</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 xml:space="preserve">Affections </w:t>
            </w:r>
            <w:proofErr w:type="spellStart"/>
            <w:r>
              <w:rPr>
                <w:i/>
                <w:iCs/>
              </w:rPr>
              <w:t>musculosquelettiques</w:t>
            </w:r>
            <w:proofErr w:type="spellEnd"/>
            <w:r>
              <w:rPr>
                <w:i/>
                <w:iCs/>
              </w:rPr>
              <w:t xml:space="preserve"> et systémiques :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Arthralgie</w:t>
            </w:r>
            <w:r>
              <w:rPr>
                <w:vertAlign w:val="superscript"/>
              </w:rPr>
              <w:t>(1)</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Myalgie</w:t>
            </w:r>
            <w:r>
              <w:rPr>
                <w:vertAlign w:val="superscript"/>
              </w:rPr>
              <w:t>(1)</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Douleur des extrémités</w:t>
            </w:r>
            <w:r>
              <w:rPr>
                <w:vertAlign w:val="superscript"/>
              </w:rPr>
              <w:t>(1)</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Douleur dorsale</w:t>
            </w:r>
            <w:r>
              <w:rPr>
                <w:vertAlign w:val="superscript"/>
              </w:rPr>
              <w:t>(1)</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 xml:space="preserve">Affections du rein et des voies urinaires :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Altération de la fonction rénale</w:t>
            </w:r>
            <w:r>
              <w:rPr>
                <w:vertAlign w:val="superscript"/>
              </w:rPr>
              <w:t>(1)</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Insuffisance rénale aiguë</w:t>
            </w:r>
            <w:r>
              <w:rPr>
                <w:vertAlign w:val="superscript"/>
              </w:rPr>
              <w:t>(1)</w:t>
            </w:r>
            <w: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indéterminée </w:t>
            </w:r>
          </w:p>
        </w:tc>
      </w:tr>
      <w:tr w:rsidR="0065359B" w:rsidTr="0072727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 xml:space="preserve">Troubles généraux et anomalies au site d'administration :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proofErr w:type="spellStart"/>
            <w:r>
              <w:t>OEdème</w:t>
            </w:r>
            <w:proofErr w:type="spellEnd"/>
            <w:r>
              <w:t xml:space="preserve"> périphérique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 xml:space="preserve">Investigations :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xml:space="preserve">Baisse de la glycémie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Peu 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bl>
    <w:p w:rsidR="0065359B" w:rsidRDefault="0065359B" w:rsidP="0065359B">
      <w:pPr>
        <w:ind w:left="720"/>
      </w:pPr>
      <w:r>
        <w:rPr>
          <w:vertAlign w:val="superscript"/>
        </w:rPr>
        <w:t>(1)</w:t>
      </w:r>
      <w:r>
        <w:t xml:space="preserve">  </w:t>
      </w:r>
      <w:r>
        <w:rPr>
          <w:sz w:val="20"/>
          <w:szCs w:val="20"/>
        </w:rPr>
        <w:t>Effets indésirables identifiés depuis la commercialisation.</w:t>
      </w:r>
    </w:p>
    <w:p w:rsidR="0065359B" w:rsidRDefault="0065359B" w:rsidP="0065359B">
      <w:pPr>
        <w:ind w:left="720"/>
      </w:pPr>
      <w:r>
        <w:rPr>
          <w:vertAlign w:val="superscript"/>
        </w:rPr>
        <w:t>(2)</w:t>
      </w:r>
      <w:r>
        <w:t xml:space="preserve">  </w:t>
      </w:r>
      <w:proofErr w:type="spellStart"/>
      <w:r>
        <w:rPr>
          <w:sz w:val="20"/>
          <w:szCs w:val="20"/>
        </w:rPr>
        <w:t>Cf</w:t>
      </w:r>
      <w:proofErr w:type="spellEnd"/>
      <w:r>
        <w:rPr>
          <w:sz w:val="20"/>
          <w:szCs w:val="20"/>
        </w:rPr>
        <w:t> Mises en garde et Précautions d'emploi.</w:t>
      </w:r>
    </w:p>
    <w:p w:rsidR="0065359B" w:rsidRDefault="0065359B" w:rsidP="0065359B">
      <w:r>
        <w:rPr>
          <w:b/>
          <w:bCs/>
          <w:i/>
          <w:iCs/>
        </w:rPr>
        <w:t xml:space="preserve">Autres informations sur chacune des substances actives de l'association fixe : </w:t>
      </w:r>
    </w:p>
    <w:p w:rsidR="0065359B" w:rsidRDefault="0065359B" w:rsidP="0065359B">
      <w:pPr>
        <w:ind w:left="720"/>
      </w:pPr>
      <w:proofErr w:type="spellStart"/>
      <w:r>
        <w:rPr>
          <w:i/>
          <w:iCs/>
        </w:rPr>
        <w:t>Sitagliptine</w:t>
      </w:r>
      <w:proofErr w:type="spellEnd"/>
      <w:r>
        <w:rPr>
          <w:i/>
          <w:iCs/>
        </w:rPr>
        <w:t xml:space="preserve"> : </w:t>
      </w:r>
    </w:p>
    <w:p w:rsidR="0065359B" w:rsidRDefault="0065359B" w:rsidP="0065359B">
      <w:pPr>
        <w:ind w:left="720"/>
      </w:pPr>
      <w:r>
        <w:t xml:space="preserve">Dans des études en monothérapie, réalisées avec 100 mg de </w:t>
      </w:r>
      <w:proofErr w:type="spellStart"/>
      <w:r>
        <w:t>sitagliptine</w:t>
      </w:r>
      <w:proofErr w:type="spellEnd"/>
      <w:r>
        <w:t xml:space="preserve">, une fois par jour, versus placebo, les effets indésirables ont été les céphalées, l'hypoglycémie, la constipation et les étourdissements. </w:t>
      </w:r>
    </w:p>
    <w:p w:rsidR="0065359B" w:rsidRDefault="0065359B" w:rsidP="0065359B">
      <w:pPr>
        <w:ind w:left="720"/>
      </w:pPr>
      <w:r>
        <w:lastRenderedPageBreak/>
        <w:t xml:space="preserve">Parmi ces patients, des effets indésirables ont été rapportés indépendamment de la relation de cause à effet avec le médicament chez au moins 5 % des patients. Ils comprenaient des infections des voies respiratoires supérieures et des rhinopharyngites. De plus, des cas d'arthrose et de douleur des extrémités ont été rapportés comme peu fréquents (avec une incidence supérieure de plus de 0,5 % chez les patients traités par </w:t>
      </w:r>
      <w:proofErr w:type="spellStart"/>
      <w:r>
        <w:t>sitagliptine</w:t>
      </w:r>
      <w:proofErr w:type="spellEnd"/>
      <w:r>
        <w:t xml:space="preserve"> par rapport au groupe contrôle). </w:t>
      </w:r>
    </w:p>
    <w:p w:rsidR="0065359B" w:rsidRDefault="0065359B" w:rsidP="0065359B">
      <w:pPr>
        <w:ind w:left="720"/>
      </w:pPr>
      <w:r>
        <w:t xml:space="preserve">Dans l'ensemble des études cliniques, une légère augmentation du nombre de globules blancs (différence d'environ 200 globules blancs/µl versus placebo ; valeur moyenne de départ d'environ 6600 globules blancs/µl) a été observée, en raison d'une augmentation du nombre de neutrophiles. Cette observation a été constatée dans la plupart des études mais pas dans toutes. Cette modification des paramètres biologiques n'est pas considérée comme étant cliniquement pertinente. </w:t>
      </w:r>
    </w:p>
    <w:p w:rsidR="0065359B" w:rsidRDefault="0065359B" w:rsidP="0065359B">
      <w:pPr>
        <w:ind w:left="720"/>
      </w:pPr>
      <w:proofErr w:type="spellStart"/>
      <w:r>
        <w:rPr>
          <w:i/>
          <w:iCs/>
        </w:rPr>
        <w:t>Metformine</w:t>
      </w:r>
      <w:proofErr w:type="spellEnd"/>
      <w:r>
        <w:rPr>
          <w:i/>
          <w:iCs/>
        </w:rPr>
        <w:t xml:space="preserve"> : </w:t>
      </w:r>
    </w:p>
    <w:p w:rsidR="0065359B" w:rsidRDefault="0065359B" w:rsidP="0065359B">
      <w:pPr>
        <w:ind w:left="720"/>
      </w:pPr>
      <w:r>
        <w:t xml:space="preserve">Le tableau 2 présente les effets indésirables par classe d'organe et fréquence. Les catégories de fréquence sont basées sur les informations figurant dans le Résumé des caractéristiques du produit de la </w:t>
      </w:r>
      <w:proofErr w:type="spellStart"/>
      <w:r>
        <w:t>metformine</w:t>
      </w:r>
      <w:proofErr w:type="spellEnd"/>
      <w:r>
        <w:t xml:space="preserve"> disponible dans l'Union européenne.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68"/>
        <w:gridCol w:w="2234"/>
      </w:tblGrid>
      <w:tr w:rsidR="0065359B" w:rsidTr="00727274">
        <w:trPr>
          <w:tblCellSpacing w:w="7" w:type="dxa"/>
        </w:trPr>
        <w:tc>
          <w:tcPr>
            <w:tcW w:w="0" w:type="auto"/>
            <w:gridSpan w:val="2"/>
            <w:tcBorders>
              <w:top w:val="nil"/>
              <w:left w:val="nil"/>
              <w:bottom w:val="nil"/>
              <w:right w:val="nil"/>
            </w:tcBorders>
            <w:vAlign w:val="center"/>
            <w:hideMark/>
          </w:tcPr>
          <w:p w:rsidR="0065359B" w:rsidRDefault="0065359B" w:rsidP="00727274">
            <w:pPr>
              <w:jc w:val="center"/>
              <w:rPr>
                <w:color w:val="000000"/>
                <w:sz w:val="24"/>
                <w:szCs w:val="24"/>
              </w:rPr>
            </w:pPr>
            <w:r>
              <w:t xml:space="preserve">Tableau 2 : Fréquence des effets indésirables de la </w:t>
            </w:r>
            <w:proofErr w:type="spellStart"/>
            <w:r>
              <w:t>metformine</w:t>
            </w:r>
            <w:proofErr w:type="spellEnd"/>
            <w:r>
              <w:t xml:space="preserve"> à partir des données des études cliniques et de la pharmacovigilance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Effets indésirables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Fréquence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Troubles du métabolisme et de la nutrition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Acidose lactique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Très rare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Carence en vitamine B12</w:t>
            </w:r>
            <w:r>
              <w:rPr>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Très rare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Affections du système nerveux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Goût métallique</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Fréquent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Affections gastro-intestinales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Symptômes gastro-intestinaux</w:t>
            </w:r>
            <w:r>
              <w:rPr>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Très fréquent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Affections hépatobiliaires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t>- Troubles de la fonction hépatique, hépatite</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Très rare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rPr>
                <w:i/>
                <w:iCs/>
              </w:rPr>
              <w:t>Affections de la peau et du tissu sous-cutané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      </w:t>
            </w:r>
          </w:p>
        </w:tc>
      </w:tr>
      <w:tr w:rsidR="0065359B" w:rsidTr="0072727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rPr>
                <w:color w:val="000000"/>
                <w:sz w:val="24"/>
                <w:szCs w:val="24"/>
              </w:rPr>
            </w:pPr>
            <w:r>
              <w:lastRenderedPageBreak/>
              <w:t>- Urticaire, érythème, prurit</w:t>
            </w:r>
          </w:p>
        </w:tc>
        <w:tc>
          <w:tcPr>
            <w:tcW w:w="0" w:type="auto"/>
            <w:tcBorders>
              <w:top w:val="outset" w:sz="6" w:space="0" w:color="auto"/>
              <w:left w:val="outset" w:sz="6" w:space="0" w:color="auto"/>
              <w:bottom w:val="outset" w:sz="6" w:space="0" w:color="auto"/>
              <w:right w:val="outset" w:sz="6" w:space="0" w:color="auto"/>
            </w:tcBorders>
            <w:vAlign w:val="center"/>
            <w:hideMark/>
          </w:tcPr>
          <w:p w:rsidR="0065359B" w:rsidRDefault="0065359B" w:rsidP="00727274">
            <w:pPr>
              <w:jc w:val="center"/>
              <w:rPr>
                <w:color w:val="000000"/>
                <w:sz w:val="24"/>
                <w:szCs w:val="24"/>
              </w:rPr>
            </w:pPr>
            <w:r>
              <w:t xml:space="preserve">Très rare </w:t>
            </w:r>
          </w:p>
        </w:tc>
      </w:tr>
    </w:tbl>
    <w:p w:rsidR="0065359B" w:rsidRDefault="0065359B" w:rsidP="0065359B">
      <w:pPr>
        <w:ind w:left="720"/>
      </w:pPr>
      <w:r>
        <w:rPr>
          <w:vertAlign w:val="superscript"/>
        </w:rPr>
        <w:t>*</w:t>
      </w:r>
      <w:r>
        <w:t xml:space="preserve">  </w:t>
      </w:r>
      <w:r>
        <w:rPr>
          <w:sz w:val="20"/>
          <w:szCs w:val="20"/>
        </w:rPr>
        <w:t xml:space="preserve">Le traitement au long cours par la </w:t>
      </w:r>
      <w:proofErr w:type="spellStart"/>
      <w:r>
        <w:rPr>
          <w:sz w:val="20"/>
          <w:szCs w:val="20"/>
        </w:rPr>
        <w:t>metformine</w:t>
      </w:r>
      <w:proofErr w:type="spellEnd"/>
      <w:r>
        <w:rPr>
          <w:sz w:val="20"/>
          <w:szCs w:val="20"/>
        </w:rPr>
        <w:t xml:space="preserve"> a été associé à une diminution de l'absorption de la vitamine B12 qui peut, dans de très rares cas, entraîner un déficit en vitamine B12 cliniquement significatif (anémie mégaloblastique par exemple).</w:t>
      </w:r>
    </w:p>
    <w:p w:rsidR="0065359B" w:rsidRDefault="0065359B" w:rsidP="0065359B">
      <w:pPr>
        <w:ind w:left="720"/>
      </w:pPr>
      <w:r>
        <w:rPr>
          <w:vertAlign w:val="superscript"/>
        </w:rPr>
        <w:t>**</w:t>
      </w:r>
      <w:r>
        <w:t xml:space="preserve">  </w:t>
      </w:r>
      <w:r>
        <w:rPr>
          <w:sz w:val="20"/>
          <w:szCs w:val="20"/>
        </w:rPr>
        <w:t>Les symptômes gastro-intestinaux tels que nausées, vomissements, diarrhées, douleurs abdominales et perte d'appétit apparaissent le plus souvent en début de traitement et régressent spontanément dans la plupart des cas.</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5359B"/>
    <w:rsid w:val="00017B31"/>
    <w:rsid w:val="0006330F"/>
    <w:rsid w:val="0009769E"/>
    <w:rsid w:val="000C4178"/>
    <w:rsid w:val="00120A2B"/>
    <w:rsid w:val="00132903"/>
    <w:rsid w:val="001931B1"/>
    <w:rsid w:val="001A53D5"/>
    <w:rsid w:val="001B3E26"/>
    <w:rsid w:val="00282113"/>
    <w:rsid w:val="002D0F57"/>
    <w:rsid w:val="003164DC"/>
    <w:rsid w:val="0034030B"/>
    <w:rsid w:val="00370323"/>
    <w:rsid w:val="004276C2"/>
    <w:rsid w:val="004771A7"/>
    <w:rsid w:val="00521B28"/>
    <w:rsid w:val="005630AF"/>
    <w:rsid w:val="00587FAE"/>
    <w:rsid w:val="00610963"/>
    <w:rsid w:val="0062264F"/>
    <w:rsid w:val="0065359B"/>
    <w:rsid w:val="00673C6F"/>
    <w:rsid w:val="006A4DC8"/>
    <w:rsid w:val="006D4445"/>
    <w:rsid w:val="006D6F8C"/>
    <w:rsid w:val="0070624C"/>
    <w:rsid w:val="007628F0"/>
    <w:rsid w:val="0078077B"/>
    <w:rsid w:val="007A24F8"/>
    <w:rsid w:val="007A5B77"/>
    <w:rsid w:val="007E4829"/>
    <w:rsid w:val="008075EC"/>
    <w:rsid w:val="00816CD7"/>
    <w:rsid w:val="00841542"/>
    <w:rsid w:val="008D2D19"/>
    <w:rsid w:val="008F30B2"/>
    <w:rsid w:val="00911C5C"/>
    <w:rsid w:val="00915F11"/>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5275</Characters>
  <Application>Microsoft Office Word</Application>
  <DocSecurity>0</DocSecurity>
  <Lines>43</Lines>
  <Paragraphs>12</Paragraphs>
  <ScaleCrop>false</ScaleCrop>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2013-11-18T14:57:00Z</dcterms:created>
  <dcterms:modified xsi:type="dcterms:W3CDTF">2013-11-18T14:58:00Z</dcterms:modified>
</cp:coreProperties>
</file>